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Investigation of Autosomal Genetic Sex Differences in Parkinson’s disease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Supplementary Figure 1: Quantile-quantile plot of male PD GWAS showing very limited population stratification.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Supplementary Figure 2: Quantile-quantile plot of female PD GWAS showing very limited population stratification.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Supplementary Figure 3: Effect sizes of the male PD GWAS hits passing genome wide significance plotted versus matching female PD GWAS effect sizes.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Supplementary Figure 4: Effect sizes of the female PD GWAS hits passing genome wide significance plotted versus matching male PD GWAS effect sizes.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Supplementary Figure 1:</w:t>
      </w:r>
      <w:r w:rsidDel="00000000" w:rsidR="00000000" w:rsidRPr="00000000">
        <w:rPr>
          <w:rtl w:val="0"/>
        </w:rPr>
        <w:t xml:space="preserve"> Quantile-quantile plot of male PD GWAS showing very limited population stratification. MAF 1% with 7,153,507 variants and Lambda 1000 value of 1.001269 and Lambda = 1.04312.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/>
        <w:drawing>
          <wp:inline distB="114300" distT="114300" distL="114300" distR="114300">
            <wp:extent cx="4572000" cy="457200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57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rtl w:val="0"/>
        </w:rPr>
        <w:t xml:space="preserve">Supplementary Figure 2: </w:t>
      </w:r>
      <w:r w:rsidDel="00000000" w:rsidR="00000000" w:rsidRPr="00000000">
        <w:rPr>
          <w:rtl w:val="0"/>
        </w:rPr>
        <w:t xml:space="preserve">Quantile-quantile plot of female PD GWAS showing very limited population stratification</w:t>
      </w:r>
      <w:r w:rsidDel="00000000" w:rsidR="00000000" w:rsidRPr="00000000">
        <w:rPr>
          <w:rtl w:val="0"/>
        </w:rPr>
        <w:t xml:space="preserve">. MAF 1% with 7,141,404 variants and Lambda 1000 value of 1.0008 and Lambda = 1.019263.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/>
        <w:drawing>
          <wp:inline distB="114300" distT="114300" distL="114300" distR="114300">
            <wp:extent cx="4572000" cy="45720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57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b w:val="1"/>
          <w:rtl w:val="0"/>
        </w:rPr>
        <w:t xml:space="preserve">Supplementary Figure 3:</w:t>
      </w:r>
      <w:r w:rsidDel="00000000" w:rsidR="00000000" w:rsidRPr="00000000">
        <w:rPr>
          <w:rtl w:val="0"/>
        </w:rPr>
        <w:t xml:space="preserve"> Effect sizes of the male PD GWAS hits passing genome wide significance plotted versus matching female PD GWAS effect sizes.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4559300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559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Supplementary Figure 4: </w:t>
      </w:r>
      <w:r w:rsidDel="00000000" w:rsidR="00000000" w:rsidRPr="00000000">
        <w:rPr>
          <w:rtl w:val="0"/>
        </w:rPr>
        <w:t xml:space="preserve">Effect sizes of the female PD GWAS hits passing genome wide significance plotted versus matching male PD GWAS effect sizes.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4572000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57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